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https://projektai.intranet.litgrid.eu/PWA/110-10%20kV%20Jačionių%20TP%20110%20kV%20skirstyklos%20rekonstravimas/_layouts/15/DocIdRedir.aspx?ID=PVIS-1348377509-30</Url>
      <Description>PVIS-1348377509-30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PVIS-1348377509-30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700FA5-F742-424A-BF53-A4D50079D8AB}"/>
</file>

<file path=customXml/itemProps3.xml><?xml version="1.0" encoding="utf-8"?>
<ds:datastoreItem xmlns:ds="http://schemas.openxmlformats.org/officeDocument/2006/customXml" ds:itemID="{139509F5-7252-46E2-90A5-C7D267561D9D}"/>
</file>

<file path=customXml/itemProps4.xml><?xml version="1.0" encoding="utf-8"?>
<ds:datastoreItem xmlns:ds="http://schemas.openxmlformats.org/officeDocument/2006/customXml" ds:itemID="{CF46972C-2B0F-4C2D-9050-8D37EFEA70D5}"/>
</file>

<file path=customXml/itemProps5.xml><?xml version="1.0" encoding="utf-8"?>
<ds:datastoreItem xmlns:ds="http://schemas.openxmlformats.org/officeDocument/2006/customXml" ds:itemID="{3ABBB6C3-A92C-4308-A36D-B7DAE5C796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0x01010066872F3CC8F7D84995438B893169A0800200E7A142D67D3DC147BA8760CCF4A03A6D</vt:lpwstr>
  </property>
  <property fmtid="{D5CDD505-2E9C-101B-9397-08002B2CF9AE}" pid="3" name="_dlc_DocIdItemGuid">
    <vt:lpwstr>3b50ec2f-6a4e-41e3-9f35-3a065eac49a2</vt:lpwstr>
  </property>
</Properties>
</file>